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1DB7" w14:textId="77777777" w:rsidR="00027F22" w:rsidRDefault="00027F22" w:rsidP="00027F22">
      <w:pPr>
        <w:spacing w:line="312" w:lineRule="auto"/>
        <w:jc w:val="both"/>
        <w:outlineLvl w:val="1"/>
        <w:rPr>
          <w:rFonts w:cs="Arial"/>
          <w:b/>
          <w:sz w:val="28"/>
          <w:szCs w:val="28"/>
          <w:u w:val="single"/>
          <w:lang w:eastAsia="en-US"/>
        </w:rPr>
      </w:pPr>
    </w:p>
    <w:p w14:paraId="056DC941" w14:textId="77777777" w:rsidR="00027F22" w:rsidRDefault="00027F22" w:rsidP="00027F22">
      <w:pPr>
        <w:spacing w:line="312" w:lineRule="auto"/>
        <w:jc w:val="both"/>
        <w:outlineLvl w:val="1"/>
        <w:rPr>
          <w:rFonts w:cs="Arial"/>
          <w:b/>
          <w:sz w:val="28"/>
          <w:szCs w:val="28"/>
          <w:u w:val="single"/>
          <w:lang w:eastAsia="en-US"/>
        </w:rPr>
      </w:pPr>
      <w:r>
        <w:rPr>
          <w:rFonts w:cs="Arial"/>
          <w:noProof/>
        </w:rPr>
        <mc:AlternateContent>
          <mc:Choice Requires="wps">
            <w:drawing>
              <wp:anchor distT="0" distB="0" distL="114300" distR="114300" simplePos="0" relativeHeight="251658240" behindDoc="0" locked="0" layoutInCell="1" allowOverlap="1" wp14:anchorId="3C51607E" wp14:editId="18EF971F">
                <wp:simplePos x="0" y="0"/>
                <wp:positionH relativeFrom="column">
                  <wp:posOffset>2269490</wp:posOffset>
                </wp:positionH>
                <wp:positionV relativeFrom="paragraph">
                  <wp:posOffset>3175</wp:posOffset>
                </wp:positionV>
                <wp:extent cx="4057650" cy="1600200"/>
                <wp:effectExtent l="19050" t="19050" r="38100" b="381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600200"/>
                        </a:xfrm>
                        <a:prstGeom prst="rect">
                          <a:avLst/>
                        </a:prstGeom>
                        <a:solidFill>
                          <a:srgbClr val="FFFFFF"/>
                        </a:solidFill>
                        <a:ln w="57150">
                          <a:solidFill>
                            <a:srgbClr val="008000"/>
                          </a:solidFill>
                          <a:miter lim="800000"/>
                          <a:headEnd/>
                          <a:tailEnd/>
                        </a:ln>
                      </wps:spPr>
                      <wps:txbx>
                        <w:txbxContent>
                          <w:p w14:paraId="4FFC0ABC" w14:textId="77777777" w:rsidR="00027F22" w:rsidRDefault="00027F22" w:rsidP="00687D9E">
                            <w:pPr>
                              <w:rPr>
                                <w:sz w:val="40"/>
                                <w:szCs w:val="40"/>
                              </w:rPr>
                            </w:pPr>
                          </w:p>
                          <w:p w14:paraId="1334A2F8" w14:textId="77777777" w:rsidR="00027F22" w:rsidRPr="007310C6" w:rsidRDefault="00027F22" w:rsidP="00687D9E">
                            <w:pPr>
                              <w:jc w:val="center"/>
                              <w:rPr>
                                <w:rFonts w:cs="Arial"/>
                              </w:rPr>
                            </w:pPr>
                            <w:r>
                              <w:rPr>
                                <w:rFonts w:cs="Arial"/>
                                <w:sz w:val="48"/>
                                <w:szCs w:val="48"/>
                              </w:rPr>
                              <w:t>Data Search Charges</w:t>
                            </w:r>
                          </w:p>
                          <w:p w14:paraId="655CC14F" w14:textId="0918F3FB" w:rsidR="00027F22" w:rsidRDefault="008756B0" w:rsidP="00687D9E">
                            <w:pPr>
                              <w:jc w:val="center"/>
                              <w:rPr>
                                <w:rFonts w:cs="Arial"/>
                              </w:rPr>
                            </w:pPr>
                            <w:r>
                              <w:rPr>
                                <w:rFonts w:cs="Arial"/>
                              </w:rPr>
                              <w:t>Last updated 01/</w:t>
                            </w:r>
                            <w:r w:rsidR="0061488F">
                              <w:rPr>
                                <w:rFonts w:cs="Arial"/>
                              </w:rPr>
                              <w:t>03</w:t>
                            </w:r>
                            <w:r w:rsidR="008E4C0B">
                              <w:rPr>
                                <w:rFonts w:cs="Arial"/>
                              </w:rPr>
                              <w:t>/</w:t>
                            </w:r>
                            <w:r w:rsidR="0061488F">
                              <w:rPr>
                                <w:rFonts w:cs="Arial"/>
                              </w:rPr>
                              <w:t>24</w:t>
                            </w:r>
                          </w:p>
                          <w:p w14:paraId="3270DCE6" w14:textId="77777777" w:rsidR="00F154B7" w:rsidRPr="007310C6" w:rsidRDefault="00F154B7" w:rsidP="00687D9E">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1607E" id="_x0000_t202" coordsize="21600,21600" o:spt="202" path="m,l,21600r21600,l21600,xe">
                <v:stroke joinstyle="miter"/>
                <v:path gradientshapeok="t" o:connecttype="rect"/>
              </v:shapetype>
              <v:shape id="Text Box 2" o:spid="_x0000_s1026" type="#_x0000_t202" style="position:absolute;left:0;text-align:left;margin-left:178.7pt;margin-top:.25pt;width:319.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" strokecolor="green" strokeweight="4.5pt">
                <v:textbox>
                  <w:txbxContent>
                    <w:p w14:paraId="4FFC0ABC" w14:textId="77777777" w:rsidR="00027F22" w:rsidRDefault="00027F22" w:rsidP="00687D9E">
                      <w:pPr>
                        <w:rPr>
                          <w:sz w:val="40"/>
                          <w:szCs w:val="40"/>
                        </w:rPr>
                      </w:pPr>
                    </w:p>
                    <w:p w14:paraId="1334A2F8" w14:textId="77777777" w:rsidR="00027F22" w:rsidRPr="007310C6" w:rsidRDefault="00027F22" w:rsidP="00687D9E">
                      <w:pPr>
                        <w:jc w:val="center"/>
                        <w:rPr>
                          <w:rFonts w:cs="Arial"/>
                        </w:rPr>
                      </w:pPr>
                      <w:r>
                        <w:rPr>
                          <w:rFonts w:cs="Arial"/>
                          <w:sz w:val="48"/>
                          <w:szCs w:val="48"/>
                        </w:rPr>
                        <w:t>Data Search Charges</w:t>
                      </w:r>
                    </w:p>
                    <w:p w14:paraId="655CC14F" w14:textId="0918F3FB" w:rsidR="00027F22" w:rsidRDefault="008756B0" w:rsidP="00687D9E">
                      <w:pPr>
                        <w:jc w:val="center"/>
                        <w:rPr>
                          <w:rFonts w:cs="Arial"/>
                        </w:rPr>
                      </w:pPr>
                      <w:r>
                        <w:rPr>
                          <w:rFonts w:cs="Arial"/>
                        </w:rPr>
                        <w:t>Last updated 01/</w:t>
                      </w:r>
                      <w:r w:rsidR="0061488F">
                        <w:rPr>
                          <w:rFonts w:cs="Arial"/>
                        </w:rPr>
                        <w:t>03</w:t>
                      </w:r>
                      <w:r w:rsidR="008E4C0B">
                        <w:rPr>
                          <w:rFonts w:cs="Arial"/>
                        </w:rPr>
                        <w:t>/</w:t>
                      </w:r>
                      <w:r w:rsidR="0061488F">
                        <w:rPr>
                          <w:rFonts w:cs="Arial"/>
                        </w:rPr>
                        <w:t>24</w:t>
                      </w:r>
                    </w:p>
                    <w:p w14:paraId="3270DCE6" w14:textId="77777777" w:rsidR="00F154B7" w:rsidRPr="007310C6" w:rsidRDefault="00F154B7" w:rsidP="00687D9E">
                      <w:pPr>
                        <w:jc w:val="center"/>
                        <w:rPr>
                          <w:rFonts w:cs="Arial"/>
                        </w:rPr>
                      </w:pPr>
                    </w:p>
                  </w:txbxContent>
                </v:textbox>
              </v:shape>
            </w:pict>
          </mc:Fallback>
        </mc:AlternateContent>
      </w:r>
      <w:r>
        <w:rPr>
          <w:rFonts w:cs="Arial"/>
          <w:noProof/>
        </w:rPr>
        <w:drawing>
          <wp:inline distT="0" distB="0" distL="0" distR="0" wp14:anchorId="3A852F78" wp14:editId="227AD2B5">
            <wp:extent cx="1714500" cy="2171700"/>
            <wp:effectExtent l="0" t="0" r="0" b="0"/>
            <wp:docPr id="1" name="Picture 1" descr="KMBRC logo to insert into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BRC logo to insert into document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500" cy="2171700"/>
                    </a:xfrm>
                    <a:prstGeom prst="rect">
                      <a:avLst/>
                    </a:prstGeom>
                    <a:noFill/>
                    <a:ln>
                      <a:noFill/>
                    </a:ln>
                  </pic:spPr>
                </pic:pic>
              </a:graphicData>
            </a:graphic>
          </wp:inline>
        </w:drawing>
      </w:r>
    </w:p>
    <w:p w14:paraId="5FCE78EF" w14:textId="77777777" w:rsidR="00027F22" w:rsidRDefault="00027F22" w:rsidP="00027F22">
      <w:pPr>
        <w:spacing w:line="312" w:lineRule="auto"/>
        <w:jc w:val="both"/>
        <w:outlineLvl w:val="1"/>
        <w:rPr>
          <w:rFonts w:cs="Arial"/>
          <w:b/>
          <w:sz w:val="28"/>
          <w:szCs w:val="28"/>
          <w:u w:val="single"/>
          <w:lang w:eastAsia="en-US"/>
        </w:rPr>
      </w:pPr>
      <w:r w:rsidRPr="00027F22">
        <w:rPr>
          <w:rFonts w:cs="Arial"/>
          <w:b/>
          <w:sz w:val="28"/>
          <w:szCs w:val="28"/>
          <w:lang w:eastAsia="en-US"/>
        </w:rPr>
        <w:tab/>
      </w:r>
      <w:r w:rsidRPr="00335A8A">
        <w:rPr>
          <w:rFonts w:cs="Arial"/>
          <w:b/>
          <w:sz w:val="28"/>
          <w:szCs w:val="28"/>
          <w:u w:val="single"/>
          <w:lang w:eastAsia="en-US"/>
        </w:rPr>
        <w:t>Charges</w:t>
      </w:r>
    </w:p>
    <w:p w14:paraId="0F025D1E" w14:textId="02B4978A" w:rsidR="00F154B7" w:rsidRPr="00F154B7" w:rsidRDefault="00F154B7" w:rsidP="00F154B7">
      <w:pPr>
        <w:pStyle w:val="ListParagraph"/>
        <w:numPr>
          <w:ilvl w:val="0"/>
          <w:numId w:val="4"/>
        </w:numPr>
        <w:spacing w:line="312" w:lineRule="auto"/>
        <w:outlineLvl w:val="1"/>
        <w:rPr>
          <w:rFonts w:cs="Arial"/>
          <w:lang w:eastAsia="en-US"/>
        </w:rPr>
      </w:pPr>
      <w:r w:rsidRPr="00F154B7">
        <w:rPr>
          <w:rFonts w:cs="Arial"/>
          <w:lang w:eastAsia="en-US"/>
        </w:rPr>
        <w:t xml:space="preserve">Please note: The charges shown below will apply </w:t>
      </w:r>
      <w:r w:rsidRPr="00F154B7">
        <w:rPr>
          <w:rFonts w:cs="Arial"/>
          <w:b/>
          <w:lang w:eastAsia="en-US"/>
        </w:rPr>
        <w:t>as from 1</w:t>
      </w:r>
      <w:r w:rsidRPr="00F154B7">
        <w:rPr>
          <w:rFonts w:cs="Arial"/>
          <w:b/>
          <w:vertAlign w:val="superscript"/>
          <w:lang w:eastAsia="en-US"/>
        </w:rPr>
        <w:t>st</w:t>
      </w:r>
      <w:r w:rsidRPr="00F154B7">
        <w:rPr>
          <w:rFonts w:cs="Arial"/>
          <w:b/>
          <w:lang w:eastAsia="en-US"/>
        </w:rPr>
        <w:t xml:space="preserve"> </w:t>
      </w:r>
      <w:r w:rsidR="0061488F">
        <w:rPr>
          <w:rFonts w:cs="Arial"/>
          <w:b/>
          <w:lang w:eastAsia="en-US"/>
        </w:rPr>
        <w:t>March</w:t>
      </w:r>
      <w:r w:rsidRPr="00F154B7">
        <w:rPr>
          <w:rFonts w:cs="Arial"/>
          <w:b/>
          <w:lang w:eastAsia="en-US"/>
        </w:rPr>
        <w:t xml:space="preserve"> 20</w:t>
      </w:r>
      <w:r w:rsidR="0061488F">
        <w:rPr>
          <w:rFonts w:cs="Arial"/>
          <w:b/>
          <w:lang w:eastAsia="en-US"/>
        </w:rPr>
        <w:t>24</w:t>
      </w:r>
      <w:r w:rsidRPr="00F154B7">
        <w:rPr>
          <w:rFonts w:cs="Arial"/>
          <w:lang w:eastAsia="en-US"/>
        </w:rPr>
        <w:t xml:space="preserve">. All data search requests received before that date will be processed at the current charging rate. </w:t>
      </w:r>
    </w:p>
    <w:p w14:paraId="68BAF7C7" w14:textId="77777777" w:rsidR="00027F22" w:rsidRPr="00F154B7" w:rsidRDefault="00027F22" w:rsidP="00027F22">
      <w:pPr>
        <w:spacing w:line="312" w:lineRule="auto"/>
        <w:ind w:left="399"/>
        <w:jc w:val="both"/>
        <w:rPr>
          <w:rFonts w:cs="Arial"/>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6"/>
        <w:gridCol w:w="3243"/>
      </w:tblGrid>
      <w:tr w:rsidR="00027F22" w:rsidRPr="00027F22" w14:paraId="36E077AB" w14:textId="77777777" w:rsidTr="00027F22">
        <w:trPr>
          <w:jc w:val="center"/>
        </w:trPr>
        <w:tc>
          <w:tcPr>
            <w:tcW w:w="9659" w:type="dxa"/>
            <w:gridSpan w:val="2"/>
            <w:shd w:val="clear" w:color="auto" w:fill="auto"/>
            <w:vAlign w:val="center"/>
          </w:tcPr>
          <w:p w14:paraId="67C069C1" w14:textId="77777777" w:rsidR="00027F22" w:rsidRDefault="00027F22" w:rsidP="004E2777">
            <w:pPr>
              <w:spacing w:line="312" w:lineRule="auto"/>
              <w:ind w:left="399"/>
              <w:jc w:val="both"/>
              <w:rPr>
                <w:rFonts w:cs="Arial"/>
                <w:b/>
                <w:u w:val="single"/>
                <w:lang w:eastAsia="en-US"/>
              </w:rPr>
            </w:pPr>
          </w:p>
          <w:p w14:paraId="5BA5F07F" w14:textId="77777777" w:rsidR="00027F22" w:rsidRPr="00027F22" w:rsidRDefault="00027F22" w:rsidP="004E2777">
            <w:pPr>
              <w:spacing w:line="312" w:lineRule="auto"/>
              <w:ind w:left="399"/>
              <w:jc w:val="both"/>
              <w:rPr>
                <w:rFonts w:cs="Arial"/>
                <w:b/>
                <w:u w:val="single"/>
                <w:lang w:eastAsia="en-US"/>
              </w:rPr>
            </w:pPr>
            <w:r w:rsidRPr="00027F22">
              <w:rPr>
                <w:rFonts w:cs="Arial"/>
                <w:b/>
                <w:u w:val="single"/>
                <w:lang w:eastAsia="en-US"/>
              </w:rPr>
              <w:t>Standard reports (supplied in PDF format):</w:t>
            </w:r>
          </w:p>
          <w:p w14:paraId="08081ABF" w14:textId="77777777" w:rsidR="00027F22" w:rsidRPr="00027F22" w:rsidRDefault="00027F22" w:rsidP="00027F22">
            <w:pPr>
              <w:pStyle w:val="ListParagraph"/>
              <w:numPr>
                <w:ilvl w:val="0"/>
                <w:numId w:val="2"/>
              </w:numPr>
              <w:spacing w:line="312" w:lineRule="auto"/>
              <w:rPr>
                <w:rFonts w:cs="Arial"/>
                <w:lang w:eastAsia="en-US"/>
              </w:rPr>
            </w:pPr>
            <w:r w:rsidRPr="00027F22">
              <w:rPr>
                <w:rFonts w:cs="Arial"/>
                <w:lang w:eastAsia="en-US"/>
              </w:rPr>
              <w:t>Map of statutory and non-statutory designated sites accompanied by statutory citations</w:t>
            </w:r>
          </w:p>
          <w:p w14:paraId="39F6C65D" w14:textId="77777777" w:rsidR="00027F22" w:rsidRDefault="00027F22" w:rsidP="00027F22">
            <w:pPr>
              <w:pStyle w:val="ListParagraph"/>
              <w:numPr>
                <w:ilvl w:val="0"/>
                <w:numId w:val="2"/>
              </w:numPr>
              <w:spacing w:line="312" w:lineRule="auto"/>
              <w:rPr>
                <w:rFonts w:cs="Arial"/>
                <w:lang w:eastAsia="en-US"/>
              </w:rPr>
            </w:pPr>
            <w:r w:rsidRPr="00027F22">
              <w:rPr>
                <w:rFonts w:cs="Arial"/>
                <w:lang w:eastAsia="en-US"/>
              </w:rPr>
              <w:t xml:space="preserve">Protected Species Inventory </w:t>
            </w:r>
            <w:r>
              <w:rPr>
                <w:rFonts w:cs="Arial"/>
                <w:lang w:eastAsia="en-US"/>
              </w:rPr>
              <w:t>including KRAG data (excludes</w:t>
            </w:r>
            <w:r w:rsidRPr="00027F22">
              <w:rPr>
                <w:rFonts w:cs="Arial"/>
                <w:lang w:eastAsia="en-US"/>
              </w:rPr>
              <w:t xml:space="preserve"> bats and birds)</w:t>
            </w:r>
          </w:p>
          <w:p w14:paraId="4B24A15F" w14:textId="77777777" w:rsidR="00027F22" w:rsidRDefault="00027F22" w:rsidP="00027F22">
            <w:pPr>
              <w:spacing w:line="312" w:lineRule="auto"/>
              <w:ind w:left="399"/>
              <w:rPr>
                <w:rFonts w:cs="Arial"/>
                <w:lang w:eastAsia="en-US"/>
              </w:rPr>
            </w:pPr>
            <w:r>
              <w:rPr>
                <w:rFonts w:cs="Arial"/>
                <w:lang w:eastAsia="en-US"/>
              </w:rPr>
              <w:t xml:space="preserve">          Conservation Concern Species Inventory (NERC, Section 41 and BAP priority         </w:t>
            </w:r>
          </w:p>
          <w:p w14:paraId="574F8D35" w14:textId="77777777" w:rsidR="00027F22" w:rsidRDefault="00027F22" w:rsidP="00027F22">
            <w:pPr>
              <w:spacing w:line="312" w:lineRule="auto"/>
              <w:ind w:left="399"/>
              <w:rPr>
                <w:rFonts w:cs="Arial"/>
                <w:lang w:eastAsia="en-US"/>
              </w:rPr>
            </w:pPr>
            <w:r>
              <w:rPr>
                <w:rFonts w:cs="Arial"/>
                <w:lang w:eastAsia="en-US"/>
              </w:rPr>
              <w:t xml:space="preserve">          species. </w:t>
            </w:r>
          </w:p>
          <w:p w14:paraId="21E8FFF9" w14:textId="77777777" w:rsidR="00027F22" w:rsidRDefault="00027F22" w:rsidP="00027F22">
            <w:pPr>
              <w:pStyle w:val="ListParagraph"/>
              <w:numPr>
                <w:ilvl w:val="0"/>
                <w:numId w:val="3"/>
              </w:numPr>
              <w:spacing w:line="312" w:lineRule="auto"/>
              <w:rPr>
                <w:rFonts w:cs="Arial"/>
                <w:lang w:eastAsia="en-US"/>
              </w:rPr>
            </w:pPr>
            <w:r>
              <w:rPr>
                <w:rFonts w:cs="Arial"/>
                <w:lang w:eastAsia="en-US"/>
              </w:rPr>
              <w:t xml:space="preserve">Invasive non-native species Inventory </w:t>
            </w:r>
          </w:p>
          <w:p w14:paraId="02B0C582" w14:textId="77777777" w:rsidR="00027F22" w:rsidRDefault="00027F22" w:rsidP="00027F22">
            <w:pPr>
              <w:pStyle w:val="ListParagraph"/>
              <w:numPr>
                <w:ilvl w:val="0"/>
                <w:numId w:val="3"/>
              </w:numPr>
              <w:spacing w:line="312" w:lineRule="auto"/>
              <w:rPr>
                <w:rFonts w:cs="Arial"/>
                <w:lang w:eastAsia="en-US"/>
              </w:rPr>
            </w:pPr>
            <w:r>
              <w:rPr>
                <w:rFonts w:cs="Arial"/>
                <w:lang w:eastAsia="en-US"/>
              </w:rPr>
              <w:t>Kent Rare and Scarce Species Inventory (excludes bats and birds)</w:t>
            </w:r>
          </w:p>
          <w:p w14:paraId="5295BBBB" w14:textId="77777777" w:rsidR="00027F22" w:rsidRDefault="00027F22" w:rsidP="00027F22">
            <w:pPr>
              <w:pStyle w:val="ListParagraph"/>
              <w:numPr>
                <w:ilvl w:val="0"/>
                <w:numId w:val="3"/>
              </w:numPr>
              <w:spacing w:line="312" w:lineRule="auto"/>
              <w:rPr>
                <w:rFonts w:cs="Arial"/>
                <w:lang w:eastAsia="en-US"/>
              </w:rPr>
            </w:pPr>
            <w:r>
              <w:rPr>
                <w:rFonts w:cs="Arial"/>
                <w:lang w:eastAsia="en-US"/>
              </w:rPr>
              <w:t>Bat Records from Kent Bat Group, including a bat roost map</w:t>
            </w:r>
          </w:p>
          <w:p w14:paraId="554FD4EB" w14:textId="77777777" w:rsidR="00027F22" w:rsidRPr="00027F22" w:rsidRDefault="00027F22" w:rsidP="00027F22">
            <w:pPr>
              <w:pStyle w:val="ListParagraph"/>
              <w:numPr>
                <w:ilvl w:val="0"/>
                <w:numId w:val="3"/>
              </w:numPr>
              <w:spacing w:line="312" w:lineRule="auto"/>
              <w:rPr>
                <w:rFonts w:cs="Arial"/>
                <w:lang w:eastAsia="en-US"/>
              </w:rPr>
            </w:pPr>
            <w:r>
              <w:rPr>
                <w:rFonts w:cs="Arial"/>
                <w:lang w:eastAsia="en-US"/>
              </w:rPr>
              <w:t>Bird Records from Kent Ornit</w:t>
            </w:r>
            <w:r w:rsidR="00063266">
              <w:rPr>
                <w:rFonts w:cs="Arial"/>
                <w:lang w:eastAsia="en-US"/>
              </w:rPr>
              <w:t>hological Society, including an</w:t>
            </w:r>
            <w:r>
              <w:rPr>
                <w:rFonts w:cs="Arial"/>
                <w:lang w:eastAsia="en-US"/>
              </w:rPr>
              <w:t xml:space="preserve"> indication of breeding status</w:t>
            </w:r>
          </w:p>
          <w:p w14:paraId="72A81FFF" w14:textId="77777777" w:rsidR="00027F22" w:rsidRPr="00027F22" w:rsidRDefault="00027F22" w:rsidP="004E2777">
            <w:pPr>
              <w:spacing w:line="312" w:lineRule="auto"/>
              <w:ind w:left="399"/>
              <w:jc w:val="both"/>
              <w:rPr>
                <w:rFonts w:cs="Arial"/>
                <w:lang w:eastAsia="en-US"/>
              </w:rPr>
            </w:pPr>
            <w:r>
              <w:rPr>
                <w:rFonts w:cs="Arial"/>
                <w:lang w:eastAsia="en-US"/>
              </w:rPr>
              <w:t xml:space="preserve">           </w:t>
            </w:r>
          </w:p>
        </w:tc>
      </w:tr>
      <w:tr w:rsidR="00027F22" w:rsidRPr="00027F22" w14:paraId="44DC52B3" w14:textId="77777777" w:rsidTr="00027F22">
        <w:trPr>
          <w:jc w:val="center"/>
        </w:trPr>
        <w:tc>
          <w:tcPr>
            <w:tcW w:w="6416" w:type="dxa"/>
            <w:shd w:val="clear" w:color="auto" w:fill="auto"/>
            <w:vAlign w:val="center"/>
          </w:tcPr>
          <w:p w14:paraId="5C5BA2AD" w14:textId="77777777" w:rsidR="00027F22" w:rsidRPr="00027F22" w:rsidRDefault="00027F22" w:rsidP="004E2777">
            <w:pPr>
              <w:spacing w:line="312" w:lineRule="auto"/>
              <w:ind w:left="399"/>
              <w:rPr>
                <w:rFonts w:cs="Arial"/>
                <w:lang w:eastAsia="en-US"/>
              </w:rPr>
            </w:pPr>
            <w:r>
              <w:rPr>
                <w:rFonts w:cs="Arial"/>
                <w:lang w:eastAsia="en-US"/>
              </w:rPr>
              <w:t>Administration charge for standard data search report not exceeding 50km</w:t>
            </w:r>
            <w:r w:rsidRPr="00027F22">
              <w:rPr>
                <w:rFonts w:cs="Arial"/>
                <w:vertAlign w:val="superscript"/>
                <w:lang w:eastAsia="en-US"/>
              </w:rPr>
              <w:t xml:space="preserve">2 </w:t>
            </w:r>
            <w:r>
              <w:rPr>
                <w:rFonts w:cs="Arial"/>
                <w:lang w:eastAsia="en-US"/>
              </w:rPr>
              <w:t>to include all items listed above</w:t>
            </w:r>
          </w:p>
        </w:tc>
        <w:tc>
          <w:tcPr>
            <w:tcW w:w="3243" w:type="dxa"/>
            <w:shd w:val="clear" w:color="auto" w:fill="auto"/>
            <w:vAlign w:val="center"/>
          </w:tcPr>
          <w:p w14:paraId="427CB298" w14:textId="77777777" w:rsidR="00027F22" w:rsidRPr="00027F22" w:rsidRDefault="00020CB0" w:rsidP="004E2777">
            <w:pPr>
              <w:spacing w:line="312" w:lineRule="auto"/>
              <w:ind w:left="399"/>
              <w:jc w:val="right"/>
              <w:rPr>
                <w:rFonts w:cs="Arial"/>
                <w:lang w:eastAsia="en-US"/>
              </w:rPr>
            </w:pPr>
            <w:r>
              <w:rPr>
                <w:rFonts w:cs="Arial"/>
                <w:lang w:eastAsia="en-US"/>
              </w:rPr>
              <w:t>£28</w:t>
            </w:r>
            <w:r w:rsidR="00027F22">
              <w:rPr>
                <w:rFonts w:cs="Arial"/>
                <w:lang w:eastAsia="en-US"/>
              </w:rPr>
              <w:t>0 + VAT</w:t>
            </w:r>
          </w:p>
        </w:tc>
      </w:tr>
      <w:tr w:rsidR="00146272" w:rsidRPr="00027F22" w14:paraId="2AE35F94" w14:textId="77777777" w:rsidTr="00027F22">
        <w:trPr>
          <w:jc w:val="center"/>
        </w:trPr>
        <w:tc>
          <w:tcPr>
            <w:tcW w:w="6416" w:type="dxa"/>
            <w:shd w:val="clear" w:color="auto" w:fill="auto"/>
            <w:vAlign w:val="center"/>
          </w:tcPr>
          <w:p w14:paraId="535D82EE" w14:textId="77777777" w:rsidR="00146272" w:rsidRPr="00146272" w:rsidRDefault="00146272" w:rsidP="004E2777">
            <w:pPr>
              <w:spacing w:line="312" w:lineRule="auto"/>
              <w:ind w:left="399"/>
              <w:rPr>
                <w:rFonts w:cs="Arial"/>
                <w:lang w:eastAsia="en-US"/>
              </w:rPr>
            </w:pPr>
            <w:r>
              <w:rPr>
                <w:rFonts w:cs="Arial"/>
                <w:lang w:eastAsia="en-US"/>
              </w:rPr>
              <w:t>Large Area surcharge (over 50km</w:t>
            </w:r>
            <w:r>
              <w:rPr>
                <w:rFonts w:cs="Arial"/>
                <w:vertAlign w:val="superscript"/>
                <w:lang w:eastAsia="en-US"/>
              </w:rPr>
              <w:t>2</w:t>
            </w:r>
            <w:r>
              <w:rPr>
                <w:rFonts w:cs="Arial"/>
                <w:lang w:eastAsia="en-US"/>
              </w:rPr>
              <w:t xml:space="preserve">  up to a maximum of 100km</w:t>
            </w:r>
            <w:r>
              <w:rPr>
                <w:rFonts w:cs="Arial"/>
                <w:vertAlign w:val="superscript"/>
                <w:lang w:eastAsia="en-US"/>
              </w:rPr>
              <w:t>2</w:t>
            </w:r>
            <w:r>
              <w:rPr>
                <w:rFonts w:cs="Arial"/>
                <w:lang w:eastAsia="en-US"/>
              </w:rPr>
              <w:t>)</w:t>
            </w:r>
          </w:p>
        </w:tc>
        <w:tc>
          <w:tcPr>
            <w:tcW w:w="3243" w:type="dxa"/>
            <w:shd w:val="clear" w:color="auto" w:fill="auto"/>
            <w:vAlign w:val="center"/>
          </w:tcPr>
          <w:p w14:paraId="4574BF80" w14:textId="77777777" w:rsidR="00146272" w:rsidRDefault="006C5F14" w:rsidP="004E2777">
            <w:pPr>
              <w:spacing w:line="312" w:lineRule="auto"/>
              <w:ind w:left="399"/>
              <w:jc w:val="right"/>
              <w:rPr>
                <w:rFonts w:cs="Arial"/>
                <w:lang w:eastAsia="en-US"/>
              </w:rPr>
            </w:pPr>
            <w:r>
              <w:rPr>
                <w:rFonts w:cs="Arial"/>
                <w:lang w:eastAsia="en-US"/>
              </w:rPr>
              <w:t>+20%</w:t>
            </w:r>
          </w:p>
        </w:tc>
      </w:tr>
      <w:tr w:rsidR="00027F22" w:rsidRPr="00027F22" w14:paraId="5F621C77" w14:textId="77777777" w:rsidTr="00027F22">
        <w:trPr>
          <w:jc w:val="center"/>
        </w:trPr>
        <w:tc>
          <w:tcPr>
            <w:tcW w:w="6416" w:type="dxa"/>
            <w:shd w:val="clear" w:color="auto" w:fill="auto"/>
            <w:vAlign w:val="center"/>
          </w:tcPr>
          <w:p w14:paraId="6FD66E94" w14:textId="77777777" w:rsidR="00027F22" w:rsidRPr="00027F22" w:rsidRDefault="00027F22" w:rsidP="004E2777">
            <w:pPr>
              <w:spacing w:line="312" w:lineRule="auto"/>
              <w:ind w:left="399"/>
              <w:rPr>
                <w:rFonts w:cs="Arial"/>
                <w:vertAlign w:val="superscript"/>
                <w:lang w:eastAsia="en-US"/>
              </w:rPr>
            </w:pPr>
            <w:r w:rsidRPr="00027F22">
              <w:rPr>
                <w:rFonts w:cs="Arial"/>
                <w:lang w:eastAsia="en-US"/>
              </w:rPr>
              <w:t>Administration charge for any one species report for an area not exceeding 50km</w:t>
            </w:r>
            <w:r w:rsidRPr="00027F22">
              <w:rPr>
                <w:rFonts w:cs="Arial"/>
                <w:vertAlign w:val="superscript"/>
                <w:lang w:eastAsia="en-US"/>
              </w:rPr>
              <w:t>2</w:t>
            </w:r>
          </w:p>
        </w:tc>
        <w:tc>
          <w:tcPr>
            <w:tcW w:w="3243" w:type="dxa"/>
            <w:shd w:val="clear" w:color="auto" w:fill="auto"/>
            <w:vAlign w:val="center"/>
          </w:tcPr>
          <w:p w14:paraId="105D1E5A" w14:textId="77777777" w:rsidR="00027F22" w:rsidRPr="00027F22" w:rsidRDefault="00020CB0" w:rsidP="004E2777">
            <w:pPr>
              <w:spacing w:line="312" w:lineRule="auto"/>
              <w:ind w:left="399"/>
              <w:jc w:val="right"/>
              <w:rPr>
                <w:rFonts w:cs="Arial"/>
                <w:lang w:eastAsia="en-US"/>
              </w:rPr>
            </w:pPr>
            <w:r>
              <w:rPr>
                <w:rFonts w:cs="Arial"/>
                <w:lang w:eastAsia="en-US"/>
              </w:rPr>
              <w:t>£1</w:t>
            </w:r>
            <w:r w:rsidR="00992F51">
              <w:rPr>
                <w:rFonts w:cs="Arial"/>
                <w:lang w:eastAsia="en-US"/>
              </w:rPr>
              <w:t>4</w:t>
            </w:r>
            <w:r>
              <w:rPr>
                <w:rFonts w:cs="Arial"/>
                <w:lang w:eastAsia="en-US"/>
              </w:rPr>
              <w:t>0</w:t>
            </w:r>
            <w:r w:rsidR="00027F22">
              <w:rPr>
                <w:rFonts w:cs="Arial"/>
                <w:lang w:eastAsia="en-US"/>
              </w:rPr>
              <w:t xml:space="preserve"> + VAT</w:t>
            </w:r>
          </w:p>
        </w:tc>
      </w:tr>
      <w:tr w:rsidR="00027F22" w:rsidRPr="00027F22" w14:paraId="3FB85B7E" w14:textId="77777777" w:rsidTr="00027F22">
        <w:trPr>
          <w:jc w:val="center"/>
        </w:trPr>
        <w:tc>
          <w:tcPr>
            <w:tcW w:w="6416" w:type="dxa"/>
            <w:shd w:val="clear" w:color="auto" w:fill="auto"/>
            <w:vAlign w:val="center"/>
          </w:tcPr>
          <w:p w14:paraId="51EADCCB" w14:textId="77777777" w:rsidR="00027F22" w:rsidRPr="00027F22" w:rsidRDefault="00027F22" w:rsidP="004E2777">
            <w:pPr>
              <w:spacing w:line="312" w:lineRule="auto"/>
              <w:ind w:left="399"/>
              <w:rPr>
                <w:rFonts w:cs="Arial"/>
                <w:lang w:eastAsia="en-US"/>
              </w:rPr>
            </w:pPr>
            <w:r w:rsidRPr="00027F22">
              <w:rPr>
                <w:rFonts w:cs="Arial"/>
                <w:lang w:eastAsia="en-US"/>
              </w:rPr>
              <w:t>Charge for Habitat and BAP Habitat Maps</w:t>
            </w:r>
          </w:p>
        </w:tc>
        <w:tc>
          <w:tcPr>
            <w:tcW w:w="3243" w:type="dxa"/>
            <w:shd w:val="clear" w:color="auto" w:fill="auto"/>
            <w:vAlign w:val="center"/>
          </w:tcPr>
          <w:p w14:paraId="3A25303D" w14:textId="77777777" w:rsidR="00027F22" w:rsidRPr="00027F22" w:rsidRDefault="00027F22" w:rsidP="004E2777">
            <w:pPr>
              <w:spacing w:line="312" w:lineRule="auto"/>
              <w:ind w:left="399"/>
              <w:jc w:val="right"/>
              <w:rPr>
                <w:rFonts w:cs="Arial"/>
                <w:lang w:eastAsia="en-US"/>
              </w:rPr>
            </w:pPr>
            <w:r w:rsidRPr="00027F22">
              <w:rPr>
                <w:rFonts w:cs="Arial"/>
                <w:lang w:eastAsia="en-US"/>
              </w:rPr>
              <w:t xml:space="preserve">£20 </w:t>
            </w:r>
            <w:r>
              <w:rPr>
                <w:rFonts w:cs="Arial"/>
                <w:lang w:eastAsia="en-US"/>
              </w:rPr>
              <w:t xml:space="preserve">+ VAT </w:t>
            </w:r>
            <w:r w:rsidRPr="00027F22">
              <w:rPr>
                <w:rFonts w:cs="Arial"/>
                <w:lang w:eastAsia="en-US"/>
              </w:rPr>
              <w:t>each</w:t>
            </w:r>
          </w:p>
        </w:tc>
      </w:tr>
      <w:tr w:rsidR="00027F22" w:rsidRPr="00027F22" w14:paraId="2615FF85" w14:textId="77777777" w:rsidTr="00027F22">
        <w:trPr>
          <w:jc w:val="center"/>
        </w:trPr>
        <w:tc>
          <w:tcPr>
            <w:tcW w:w="6416" w:type="dxa"/>
            <w:shd w:val="clear" w:color="auto" w:fill="auto"/>
            <w:vAlign w:val="center"/>
          </w:tcPr>
          <w:p w14:paraId="1E9AC79E" w14:textId="77777777" w:rsidR="00027F22" w:rsidRPr="00027F22" w:rsidRDefault="00027F22" w:rsidP="004E2777">
            <w:pPr>
              <w:spacing w:line="312" w:lineRule="auto"/>
              <w:ind w:left="399"/>
              <w:rPr>
                <w:rFonts w:cs="Arial"/>
                <w:lang w:eastAsia="en-US"/>
              </w:rPr>
            </w:pPr>
            <w:r>
              <w:rPr>
                <w:rFonts w:cs="Arial"/>
                <w:lang w:eastAsia="en-US"/>
              </w:rPr>
              <w:t>Charge for SSSI Risk Zones Report and Map</w:t>
            </w:r>
          </w:p>
        </w:tc>
        <w:tc>
          <w:tcPr>
            <w:tcW w:w="3243" w:type="dxa"/>
            <w:shd w:val="clear" w:color="auto" w:fill="auto"/>
            <w:vAlign w:val="center"/>
          </w:tcPr>
          <w:p w14:paraId="32E8BFE2" w14:textId="77777777" w:rsidR="00027F22" w:rsidRPr="00027F22" w:rsidRDefault="00027F22" w:rsidP="004E2777">
            <w:pPr>
              <w:spacing w:line="312" w:lineRule="auto"/>
              <w:ind w:left="399"/>
              <w:jc w:val="right"/>
              <w:rPr>
                <w:rFonts w:cs="Arial"/>
                <w:lang w:eastAsia="en-US"/>
              </w:rPr>
            </w:pPr>
            <w:r>
              <w:rPr>
                <w:rFonts w:cs="Arial"/>
                <w:lang w:eastAsia="en-US"/>
              </w:rPr>
              <w:t>£30 + VAT</w:t>
            </w:r>
          </w:p>
        </w:tc>
      </w:tr>
      <w:tr w:rsidR="00027F22" w:rsidRPr="00027F22" w14:paraId="23306019" w14:textId="77777777" w:rsidTr="00027F22">
        <w:trPr>
          <w:jc w:val="center"/>
        </w:trPr>
        <w:tc>
          <w:tcPr>
            <w:tcW w:w="6416" w:type="dxa"/>
            <w:shd w:val="clear" w:color="auto" w:fill="auto"/>
            <w:vAlign w:val="center"/>
          </w:tcPr>
          <w:p w14:paraId="34F8508F" w14:textId="77777777" w:rsidR="00027F22" w:rsidRPr="00027F22" w:rsidRDefault="00027F22" w:rsidP="004E2777">
            <w:pPr>
              <w:spacing w:line="312" w:lineRule="auto"/>
              <w:ind w:left="399"/>
              <w:rPr>
                <w:rFonts w:cs="Arial"/>
                <w:lang w:eastAsia="en-US"/>
              </w:rPr>
            </w:pPr>
            <w:r w:rsidRPr="00027F22">
              <w:rPr>
                <w:rFonts w:cs="Arial"/>
                <w:lang w:eastAsia="en-US"/>
              </w:rPr>
              <w:t>Discount for data searches which result in a complete absence of data</w:t>
            </w:r>
          </w:p>
        </w:tc>
        <w:tc>
          <w:tcPr>
            <w:tcW w:w="3243" w:type="dxa"/>
            <w:shd w:val="clear" w:color="auto" w:fill="auto"/>
            <w:vAlign w:val="center"/>
          </w:tcPr>
          <w:p w14:paraId="35373D1D" w14:textId="77777777" w:rsidR="00027F22" w:rsidRPr="00027F22" w:rsidRDefault="00027F22" w:rsidP="004E2777">
            <w:pPr>
              <w:spacing w:line="312" w:lineRule="auto"/>
              <w:ind w:left="399"/>
              <w:jc w:val="right"/>
              <w:rPr>
                <w:rFonts w:cs="Arial"/>
                <w:color w:val="FF0000"/>
                <w:lang w:eastAsia="en-US"/>
              </w:rPr>
            </w:pPr>
            <w:r w:rsidRPr="00027F22">
              <w:rPr>
                <w:rFonts w:cs="Arial"/>
                <w:color w:val="FF0000"/>
                <w:lang w:eastAsia="en-US"/>
              </w:rPr>
              <w:t>-50%</w:t>
            </w:r>
          </w:p>
        </w:tc>
      </w:tr>
      <w:tr w:rsidR="00027F22" w:rsidRPr="00027F22" w14:paraId="6D69C13F" w14:textId="77777777" w:rsidTr="00027F22">
        <w:trPr>
          <w:jc w:val="center"/>
        </w:trPr>
        <w:tc>
          <w:tcPr>
            <w:tcW w:w="6416" w:type="dxa"/>
            <w:shd w:val="clear" w:color="auto" w:fill="auto"/>
            <w:vAlign w:val="center"/>
          </w:tcPr>
          <w:p w14:paraId="11E35B67" w14:textId="279B4116" w:rsidR="00027F22" w:rsidRPr="00027F22" w:rsidRDefault="00027F22" w:rsidP="004E2777">
            <w:pPr>
              <w:spacing w:line="312" w:lineRule="auto"/>
              <w:ind w:left="399"/>
              <w:rPr>
                <w:rFonts w:cs="Arial"/>
                <w:lang w:eastAsia="en-US"/>
              </w:rPr>
            </w:pPr>
            <w:r w:rsidRPr="00027F22">
              <w:rPr>
                <w:rFonts w:cs="Arial"/>
                <w:lang w:eastAsia="en-US"/>
              </w:rPr>
              <w:t>Priority Fee</w:t>
            </w:r>
            <w:r>
              <w:rPr>
                <w:rFonts w:cs="Arial"/>
                <w:lang w:eastAsia="en-US"/>
              </w:rPr>
              <w:t xml:space="preserve"> for </w:t>
            </w:r>
            <w:r w:rsidR="0061488F">
              <w:rPr>
                <w:rFonts w:cs="Arial"/>
                <w:lang w:eastAsia="en-US"/>
              </w:rPr>
              <w:t>48-</w:t>
            </w:r>
            <w:r>
              <w:rPr>
                <w:rFonts w:cs="Arial"/>
                <w:lang w:eastAsia="en-US"/>
              </w:rPr>
              <w:t>hour turnaround</w:t>
            </w:r>
          </w:p>
        </w:tc>
        <w:tc>
          <w:tcPr>
            <w:tcW w:w="3243" w:type="dxa"/>
            <w:shd w:val="clear" w:color="auto" w:fill="auto"/>
            <w:vAlign w:val="center"/>
          </w:tcPr>
          <w:p w14:paraId="5A363A5C" w14:textId="77777777" w:rsidR="00027F22" w:rsidRPr="00027F22" w:rsidRDefault="006C5F14" w:rsidP="004E2777">
            <w:pPr>
              <w:spacing w:line="312" w:lineRule="auto"/>
              <w:ind w:left="399"/>
              <w:jc w:val="right"/>
              <w:rPr>
                <w:rFonts w:cs="Arial"/>
                <w:lang w:eastAsia="en-US"/>
              </w:rPr>
            </w:pPr>
            <w:r>
              <w:rPr>
                <w:rFonts w:cs="Arial"/>
                <w:lang w:eastAsia="en-US"/>
              </w:rPr>
              <w:t>+</w:t>
            </w:r>
            <w:r w:rsidR="00027F22" w:rsidRPr="00027F22">
              <w:rPr>
                <w:rFonts w:cs="Arial"/>
                <w:lang w:eastAsia="en-US"/>
              </w:rPr>
              <w:t>20%</w:t>
            </w:r>
          </w:p>
        </w:tc>
      </w:tr>
    </w:tbl>
    <w:p w14:paraId="0D278853" w14:textId="77777777" w:rsidR="00027F22" w:rsidRPr="00335A8A" w:rsidRDefault="00027F22" w:rsidP="00027F22">
      <w:pPr>
        <w:spacing w:line="312" w:lineRule="auto"/>
        <w:ind w:left="570"/>
        <w:jc w:val="both"/>
        <w:rPr>
          <w:rFonts w:cs="Arial"/>
          <w:lang w:eastAsia="en-US"/>
        </w:rPr>
      </w:pPr>
    </w:p>
    <w:p w14:paraId="40A58423" w14:textId="77777777" w:rsidR="00027F22" w:rsidRPr="00027F22" w:rsidRDefault="00027F22" w:rsidP="00027F22">
      <w:pPr>
        <w:spacing w:line="312" w:lineRule="auto"/>
        <w:ind w:left="570"/>
        <w:jc w:val="both"/>
        <w:rPr>
          <w:rFonts w:cs="Arial"/>
          <w:lang w:eastAsia="en-US"/>
        </w:rPr>
      </w:pPr>
      <w:r w:rsidRPr="00335A8A">
        <w:rPr>
          <w:rFonts w:cs="Arial"/>
          <w:lang w:eastAsia="en-US"/>
        </w:rPr>
        <w:t xml:space="preserve">* </w:t>
      </w:r>
      <w:r w:rsidR="00146272">
        <w:rPr>
          <w:rFonts w:cs="Arial"/>
          <w:lang w:eastAsia="en-US"/>
        </w:rPr>
        <w:t>for search areas greater than 100</w:t>
      </w:r>
      <w:r>
        <w:rPr>
          <w:rFonts w:cs="Arial"/>
          <w:lang w:eastAsia="en-US"/>
        </w:rPr>
        <w:t>km</w:t>
      </w:r>
      <w:r w:rsidRPr="00027F22">
        <w:rPr>
          <w:rFonts w:cs="Arial"/>
          <w:vertAlign w:val="superscript"/>
          <w:lang w:eastAsia="en-US"/>
        </w:rPr>
        <w:t>2</w:t>
      </w:r>
      <w:r>
        <w:rPr>
          <w:rFonts w:cs="Arial"/>
          <w:vertAlign w:val="superscript"/>
          <w:lang w:eastAsia="en-US"/>
        </w:rPr>
        <w:t xml:space="preserve"> </w:t>
      </w:r>
      <w:r>
        <w:rPr>
          <w:rFonts w:cs="Arial"/>
          <w:lang w:eastAsia="en-US"/>
        </w:rPr>
        <w:t>please contact KMBRC for a quote</w:t>
      </w:r>
    </w:p>
    <w:p w14:paraId="28CAFE18" w14:textId="77777777" w:rsidR="00027F22" w:rsidRDefault="00027F22" w:rsidP="00027F22">
      <w:pPr>
        <w:spacing w:line="312" w:lineRule="auto"/>
        <w:jc w:val="both"/>
        <w:rPr>
          <w:rFonts w:cs="Arial"/>
          <w:lang w:eastAsia="en-US"/>
        </w:rPr>
      </w:pPr>
    </w:p>
    <w:p w14:paraId="0E82AE39" w14:textId="77777777" w:rsidR="006C5F14" w:rsidRDefault="006C5F14" w:rsidP="00020CB0">
      <w:pPr>
        <w:spacing w:line="312" w:lineRule="auto"/>
        <w:ind w:left="720"/>
        <w:jc w:val="both"/>
        <w:outlineLvl w:val="1"/>
        <w:rPr>
          <w:rFonts w:cs="Arial"/>
          <w:b/>
          <w:lang w:val="en-US" w:eastAsia="en-US"/>
        </w:rPr>
      </w:pPr>
    </w:p>
    <w:p w14:paraId="46626978" w14:textId="77777777" w:rsidR="006C5F14" w:rsidRDefault="006C5F14" w:rsidP="006C5F14">
      <w:pPr>
        <w:spacing w:line="312" w:lineRule="auto"/>
        <w:jc w:val="both"/>
        <w:outlineLvl w:val="1"/>
        <w:rPr>
          <w:rFonts w:cs="Arial"/>
          <w:b/>
          <w:sz w:val="28"/>
          <w:szCs w:val="28"/>
          <w:u w:val="single"/>
          <w:lang w:val="en-US" w:eastAsia="en-US"/>
        </w:rPr>
      </w:pPr>
      <w:r w:rsidRPr="006C5F14">
        <w:rPr>
          <w:rFonts w:cs="Arial"/>
          <w:b/>
          <w:sz w:val="28"/>
          <w:szCs w:val="28"/>
          <w:u w:val="single"/>
          <w:lang w:val="en-US" w:eastAsia="en-US"/>
        </w:rPr>
        <w:t>Provision of Data in GIS Shapefile Format</w:t>
      </w:r>
    </w:p>
    <w:p w14:paraId="4874F33D" w14:textId="77777777" w:rsidR="006C5F14" w:rsidRPr="006C5F14" w:rsidRDefault="006C5F14" w:rsidP="006C5F14">
      <w:pPr>
        <w:spacing w:line="312" w:lineRule="auto"/>
        <w:jc w:val="both"/>
        <w:outlineLvl w:val="1"/>
        <w:rPr>
          <w:rFonts w:cs="Arial"/>
          <w:b/>
          <w:sz w:val="28"/>
          <w:szCs w:val="28"/>
          <w:u w:val="single"/>
          <w:lang w:val="en-US" w:eastAsia="en-US"/>
        </w:rPr>
      </w:pPr>
    </w:p>
    <w:p w14:paraId="49A45269" w14:textId="77777777" w:rsidR="00020CB0" w:rsidRDefault="00020CB0" w:rsidP="00020CB0">
      <w:pPr>
        <w:spacing w:line="312" w:lineRule="auto"/>
        <w:ind w:left="720"/>
        <w:jc w:val="both"/>
        <w:outlineLvl w:val="1"/>
        <w:rPr>
          <w:rFonts w:cs="Arial"/>
          <w:lang w:val="en-US" w:eastAsia="en-US"/>
        </w:rPr>
      </w:pPr>
      <w:r w:rsidRPr="00020CB0">
        <w:rPr>
          <w:rFonts w:cs="Arial"/>
          <w:lang w:val="en-US" w:eastAsia="en-US"/>
        </w:rPr>
        <w:t xml:space="preserve">In </w:t>
      </w:r>
      <w:r w:rsidRPr="00020CB0">
        <w:rPr>
          <w:rFonts w:cs="Arial"/>
          <w:u w:val="single"/>
          <w:lang w:val="en-US" w:eastAsia="en-US"/>
        </w:rPr>
        <w:t>some</w:t>
      </w:r>
      <w:r w:rsidRPr="00020CB0">
        <w:rPr>
          <w:rFonts w:cs="Arial"/>
          <w:lang w:val="en-US" w:eastAsia="en-US"/>
        </w:rPr>
        <w:t xml:space="preserve"> circumstances it may be possible to supply data in GIS shapefile format</w:t>
      </w:r>
      <w:r w:rsidR="00146272">
        <w:rPr>
          <w:rFonts w:cs="Arial"/>
          <w:lang w:val="en-US" w:eastAsia="en-US"/>
        </w:rPr>
        <w:t xml:space="preserve"> where our</w:t>
      </w:r>
      <w:r>
        <w:rPr>
          <w:rFonts w:cs="Arial"/>
          <w:lang w:val="en-US" w:eastAsia="en-US"/>
        </w:rPr>
        <w:t xml:space="preserve"> standard search would not be applicable or suitable, for example; where data is required for the route of a proposed powerline or pipeline covering a considerable distance. </w:t>
      </w:r>
    </w:p>
    <w:p w14:paraId="3FFA6B86" w14:textId="77777777" w:rsidR="00020CB0" w:rsidRPr="00020CB0" w:rsidRDefault="00020CB0" w:rsidP="00020CB0">
      <w:pPr>
        <w:spacing w:line="312" w:lineRule="auto"/>
        <w:ind w:left="720"/>
        <w:jc w:val="both"/>
        <w:outlineLvl w:val="1"/>
        <w:rPr>
          <w:rFonts w:cs="Arial"/>
          <w:lang w:val="en-US" w:eastAsia="en-US"/>
        </w:rPr>
      </w:pPr>
      <w:r>
        <w:rPr>
          <w:rFonts w:cs="Arial"/>
          <w:lang w:val="en-US" w:eastAsia="en-US"/>
        </w:rPr>
        <w:t xml:space="preserve">All requests for data in GIS shapefile format will be considered individually and costs will be dependent on the specific requirements of those individual search requests. If you require data in this format please contact us to discuss whether we may be able to help. </w:t>
      </w:r>
    </w:p>
    <w:p w14:paraId="04FBC44E" w14:textId="77777777" w:rsidR="00020CB0" w:rsidRDefault="00020CB0" w:rsidP="00027F22">
      <w:pPr>
        <w:spacing w:line="312" w:lineRule="auto"/>
        <w:jc w:val="both"/>
        <w:outlineLvl w:val="1"/>
        <w:rPr>
          <w:rFonts w:cs="Arial"/>
          <w:b/>
          <w:sz w:val="28"/>
          <w:szCs w:val="28"/>
          <w:lang w:val="en-US" w:eastAsia="en-US"/>
        </w:rPr>
      </w:pPr>
    </w:p>
    <w:p w14:paraId="49A6A8E5" w14:textId="77777777" w:rsidR="00020CB0" w:rsidRDefault="00020CB0" w:rsidP="00027F22">
      <w:pPr>
        <w:spacing w:line="312" w:lineRule="auto"/>
        <w:jc w:val="both"/>
        <w:outlineLvl w:val="1"/>
        <w:rPr>
          <w:rFonts w:cs="Arial"/>
          <w:b/>
          <w:sz w:val="28"/>
          <w:szCs w:val="28"/>
          <w:lang w:val="en-US" w:eastAsia="en-US"/>
        </w:rPr>
      </w:pPr>
    </w:p>
    <w:p w14:paraId="19AA3AC0" w14:textId="77777777" w:rsidR="00027F22" w:rsidRPr="00027F22" w:rsidRDefault="00027F22" w:rsidP="00027F22">
      <w:pPr>
        <w:spacing w:line="312" w:lineRule="auto"/>
        <w:jc w:val="both"/>
        <w:outlineLvl w:val="1"/>
        <w:rPr>
          <w:rFonts w:cs="Arial"/>
          <w:b/>
          <w:sz w:val="28"/>
          <w:szCs w:val="28"/>
          <w:u w:val="single"/>
          <w:lang w:val="en-US" w:eastAsia="en-US"/>
        </w:rPr>
      </w:pPr>
      <w:r w:rsidRPr="00027F22">
        <w:rPr>
          <w:rFonts w:cs="Arial"/>
          <w:b/>
          <w:sz w:val="28"/>
          <w:szCs w:val="28"/>
          <w:u w:val="single"/>
          <w:lang w:val="en-US" w:eastAsia="en-US"/>
        </w:rPr>
        <w:t>Exemptions from payment</w:t>
      </w:r>
    </w:p>
    <w:p w14:paraId="329C9E42" w14:textId="77777777" w:rsidR="00027F22" w:rsidRPr="00335A8A" w:rsidRDefault="00027F22" w:rsidP="00027F22">
      <w:pPr>
        <w:spacing w:line="312" w:lineRule="auto"/>
        <w:jc w:val="both"/>
        <w:rPr>
          <w:rFonts w:cs="Arial"/>
          <w:lang w:val="en-US" w:eastAsia="en-US"/>
        </w:rPr>
      </w:pPr>
      <w:r w:rsidRPr="00335A8A">
        <w:rPr>
          <w:rFonts w:cs="Arial"/>
          <w:lang w:val="en-US" w:eastAsia="en-US"/>
        </w:rPr>
        <w:tab/>
      </w:r>
    </w:p>
    <w:p w14:paraId="3D7020E5" w14:textId="77777777" w:rsidR="00027F22" w:rsidRPr="00335A8A" w:rsidRDefault="00027F22" w:rsidP="00027F22">
      <w:pPr>
        <w:numPr>
          <w:ilvl w:val="0"/>
          <w:numId w:val="1"/>
        </w:numPr>
        <w:spacing w:line="312" w:lineRule="auto"/>
        <w:jc w:val="both"/>
        <w:rPr>
          <w:rFonts w:cs="Arial"/>
          <w:lang w:eastAsia="en-US"/>
        </w:rPr>
      </w:pPr>
      <w:r w:rsidRPr="00335A8A">
        <w:rPr>
          <w:rFonts w:cs="Arial"/>
          <w:lang w:eastAsia="en-US"/>
        </w:rPr>
        <w:t>Enquiries received from the general public are normally free of charge for the first hour of work.</w:t>
      </w:r>
      <w:r w:rsidR="00063266">
        <w:rPr>
          <w:rFonts w:cs="Arial"/>
          <w:lang w:eastAsia="en-US"/>
        </w:rPr>
        <w:t xml:space="preserve"> This is usually the equivalent of one standard data search request.</w:t>
      </w:r>
      <w:r w:rsidRPr="00335A8A">
        <w:rPr>
          <w:rFonts w:cs="Arial"/>
          <w:lang w:eastAsia="en-US"/>
        </w:rPr>
        <w:t xml:space="preserve"> Enquiries on a larger scale will be discussed individually and either the scope of enquiry reduced or a charge may be levied. It should be noted that no enquiry data received under this exemption should be used for commercial purposes, including planning applications. If this is intended, then a payment must be made.</w:t>
      </w:r>
    </w:p>
    <w:p w14:paraId="11AABFA5" w14:textId="77777777" w:rsidR="00027F22" w:rsidRPr="00335A8A" w:rsidRDefault="00027F22" w:rsidP="00027F22">
      <w:pPr>
        <w:spacing w:line="312" w:lineRule="auto"/>
        <w:ind w:left="360"/>
        <w:jc w:val="both"/>
        <w:rPr>
          <w:rFonts w:cs="Arial"/>
          <w:lang w:eastAsia="en-US"/>
        </w:rPr>
      </w:pPr>
    </w:p>
    <w:p w14:paraId="5E86D73C" w14:textId="77777777" w:rsidR="00027F22" w:rsidRDefault="00027F22" w:rsidP="00027F22">
      <w:pPr>
        <w:numPr>
          <w:ilvl w:val="0"/>
          <w:numId w:val="1"/>
        </w:numPr>
        <w:spacing w:line="312" w:lineRule="auto"/>
        <w:jc w:val="both"/>
        <w:rPr>
          <w:rFonts w:cs="Arial"/>
          <w:lang w:val="en-US" w:eastAsia="en-US"/>
        </w:rPr>
      </w:pPr>
      <w:r w:rsidRPr="00027F22">
        <w:rPr>
          <w:rFonts w:cs="Arial"/>
          <w:lang w:val="en-US" w:eastAsia="en-US"/>
        </w:rPr>
        <w:t>Searches on behalf of species recording groups and individual recorders who have a data exchange agreement with us are free of charge. Data processing, manipulation and interrogation facilities are available to the recording groups and individuals, under the provision of the 'technica</w:t>
      </w:r>
      <w:r>
        <w:rPr>
          <w:rFonts w:cs="Arial"/>
          <w:lang w:val="en-US" w:eastAsia="en-US"/>
        </w:rPr>
        <w:t>l support for recording groups’.</w:t>
      </w:r>
    </w:p>
    <w:p w14:paraId="75FBFEC5" w14:textId="77777777" w:rsidR="00027F22" w:rsidRPr="00027F22" w:rsidRDefault="00027F22" w:rsidP="00027F22">
      <w:pPr>
        <w:spacing w:line="312" w:lineRule="auto"/>
        <w:ind w:left="720"/>
        <w:jc w:val="both"/>
        <w:rPr>
          <w:rFonts w:cs="Arial"/>
          <w:lang w:val="en-US" w:eastAsia="en-US"/>
        </w:rPr>
      </w:pPr>
    </w:p>
    <w:p w14:paraId="5F69D3EF" w14:textId="77777777" w:rsidR="00027F22" w:rsidRPr="00027F22" w:rsidRDefault="00027F22" w:rsidP="00027F22">
      <w:pPr>
        <w:numPr>
          <w:ilvl w:val="0"/>
          <w:numId w:val="1"/>
        </w:numPr>
        <w:spacing w:line="312" w:lineRule="auto"/>
        <w:jc w:val="both"/>
        <w:rPr>
          <w:rFonts w:cs="Arial"/>
          <w:lang w:val="en-US" w:eastAsia="en-US"/>
        </w:rPr>
      </w:pPr>
      <w:r w:rsidRPr="00027F22">
        <w:rPr>
          <w:rFonts w:cs="Arial"/>
          <w:lang w:val="en-US" w:eastAsia="en-US"/>
        </w:rPr>
        <w:t xml:space="preserve">No charge is made to </w:t>
      </w:r>
      <w:r w:rsidRPr="00027F22">
        <w:rPr>
          <w:rFonts w:cs="Arial"/>
          <w:lang w:eastAsia="en-US"/>
        </w:rPr>
        <w:t xml:space="preserve">KMBRC Service Level Agreement (SLA) Partners. This also applies to their contractors, but contact details must be given on </w:t>
      </w:r>
      <w:r w:rsidRPr="00027F22">
        <w:rPr>
          <w:rFonts w:cs="Arial"/>
          <w:lang w:val="en-US" w:eastAsia="en-US"/>
        </w:rPr>
        <w:t xml:space="preserve">the relevant section of the information request form so that we can contact the partner for </w:t>
      </w:r>
      <w:r w:rsidRPr="00027F22">
        <w:rPr>
          <w:rFonts w:cs="Arial"/>
          <w:lang w:eastAsia="en-US"/>
        </w:rPr>
        <w:t xml:space="preserve">authorisation prior to proceeding with the work. </w:t>
      </w:r>
    </w:p>
    <w:p w14:paraId="79F46823" w14:textId="77777777" w:rsidR="00027F22" w:rsidRPr="00027F22" w:rsidRDefault="00027F22" w:rsidP="00027F22">
      <w:pPr>
        <w:spacing w:line="312" w:lineRule="auto"/>
        <w:ind w:left="720"/>
        <w:jc w:val="both"/>
        <w:rPr>
          <w:rFonts w:cs="Arial"/>
          <w:lang w:val="en-US" w:eastAsia="en-US"/>
        </w:rPr>
      </w:pPr>
    </w:p>
    <w:p w14:paraId="304C11A2" w14:textId="77777777" w:rsidR="00027F22" w:rsidRPr="00861059" w:rsidRDefault="00027F22" w:rsidP="00027F22">
      <w:pPr>
        <w:rPr>
          <w:rFonts w:cs="Arial"/>
          <w:color w:val="0000FF"/>
        </w:rPr>
      </w:pPr>
    </w:p>
    <w:p w14:paraId="714D44B2" w14:textId="77777777" w:rsidR="003F336A" w:rsidRDefault="003F336A"/>
    <w:sectPr w:rsidR="003F336A" w:rsidSect="005E315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B46D5"/>
    <w:multiLevelType w:val="multilevel"/>
    <w:tmpl w:val="EA8EE3D0"/>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0EA2125"/>
    <w:multiLevelType w:val="hybridMultilevel"/>
    <w:tmpl w:val="9022EB7E"/>
    <w:lvl w:ilvl="0" w:tplc="08090001">
      <w:start w:val="1"/>
      <w:numFmt w:val="bullet"/>
      <w:lvlText w:val=""/>
      <w:lvlJc w:val="left"/>
      <w:pPr>
        <w:ind w:left="1119" w:hanging="360"/>
      </w:pPr>
      <w:rPr>
        <w:rFonts w:ascii="Symbol" w:hAnsi="Symbol" w:hint="default"/>
      </w:rPr>
    </w:lvl>
    <w:lvl w:ilvl="1" w:tplc="08090003" w:tentative="1">
      <w:start w:val="1"/>
      <w:numFmt w:val="bullet"/>
      <w:lvlText w:val="o"/>
      <w:lvlJc w:val="left"/>
      <w:pPr>
        <w:ind w:left="1839" w:hanging="360"/>
      </w:pPr>
      <w:rPr>
        <w:rFonts w:ascii="Courier New" w:hAnsi="Courier New" w:cs="Courier New" w:hint="default"/>
      </w:rPr>
    </w:lvl>
    <w:lvl w:ilvl="2" w:tplc="08090005" w:tentative="1">
      <w:start w:val="1"/>
      <w:numFmt w:val="bullet"/>
      <w:lvlText w:val=""/>
      <w:lvlJc w:val="left"/>
      <w:pPr>
        <w:ind w:left="2559" w:hanging="360"/>
      </w:pPr>
      <w:rPr>
        <w:rFonts w:ascii="Wingdings" w:hAnsi="Wingdings" w:hint="default"/>
      </w:rPr>
    </w:lvl>
    <w:lvl w:ilvl="3" w:tplc="08090001" w:tentative="1">
      <w:start w:val="1"/>
      <w:numFmt w:val="bullet"/>
      <w:lvlText w:val=""/>
      <w:lvlJc w:val="left"/>
      <w:pPr>
        <w:ind w:left="3279" w:hanging="360"/>
      </w:pPr>
      <w:rPr>
        <w:rFonts w:ascii="Symbol" w:hAnsi="Symbol" w:hint="default"/>
      </w:rPr>
    </w:lvl>
    <w:lvl w:ilvl="4" w:tplc="08090003" w:tentative="1">
      <w:start w:val="1"/>
      <w:numFmt w:val="bullet"/>
      <w:lvlText w:val="o"/>
      <w:lvlJc w:val="left"/>
      <w:pPr>
        <w:ind w:left="3999" w:hanging="360"/>
      </w:pPr>
      <w:rPr>
        <w:rFonts w:ascii="Courier New" w:hAnsi="Courier New" w:cs="Courier New" w:hint="default"/>
      </w:rPr>
    </w:lvl>
    <w:lvl w:ilvl="5" w:tplc="08090005" w:tentative="1">
      <w:start w:val="1"/>
      <w:numFmt w:val="bullet"/>
      <w:lvlText w:val=""/>
      <w:lvlJc w:val="left"/>
      <w:pPr>
        <w:ind w:left="4719" w:hanging="360"/>
      </w:pPr>
      <w:rPr>
        <w:rFonts w:ascii="Wingdings" w:hAnsi="Wingdings" w:hint="default"/>
      </w:rPr>
    </w:lvl>
    <w:lvl w:ilvl="6" w:tplc="08090001" w:tentative="1">
      <w:start w:val="1"/>
      <w:numFmt w:val="bullet"/>
      <w:lvlText w:val=""/>
      <w:lvlJc w:val="left"/>
      <w:pPr>
        <w:ind w:left="5439" w:hanging="360"/>
      </w:pPr>
      <w:rPr>
        <w:rFonts w:ascii="Symbol" w:hAnsi="Symbol" w:hint="default"/>
      </w:rPr>
    </w:lvl>
    <w:lvl w:ilvl="7" w:tplc="08090003" w:tentative="1">
      <w:start w:val="1"/>
      <w:numFmt w:val="bullet"/>
      <w:lvlText w:val="o"/>
      <w:lvlJc w:val="left"/>
      <w:pPr>
        <w:ind w:left="6159" w:hanging="360"/>
      </w:pPr>
      <w:rPr>
        <w:rFonts w:ascii="Courier New" w:hAnsi="Courier New" w:cs="Courier New" w:hint="default"/>
      </w:rPr>
    </w:lvl>
    <w:lvl w:ilvl="8" w:tplc="08090005" w:tentative="1">
      <w:start w:val="1"/>
      <w:numFmt w:val="bullet"/>
      <w:lvlText w:val=""/>
      <w:lvlJc w:val="left"/>
      <w:pPr>
        <w:ind w:left="6879" w:hanging="360"/>
      </w:pPr>
      <w:rPr>
        <w:rFonts w:ascii="Wingdings" w:hAnsi="Wingdings" w:hint="default"/>
      </w:rPr>
    </w:lvl>
  </w:abstractNum>
  <w:abstractNum w:abstractNumId="2" w15:restartNumberingAfterBreak="0">
    <w:nsid w:val="556C61C9"/>
    <w:multiLevelType w:val="hybridMultilevel"/>
    <w:tmpl w:val="5F4A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9D24E8"/>
    <w:multiLevelType w:val="hybridMultilevel"/>
    <w:tmpl w:val="32740630"/>
    <w:lvl w:ilvl="0" w:tplc="08090001">
      <w:start w:val="1"/>
      <w:numFmt w:val="bullet"/>
      <w:lvlText w:val=""/>
      <w:lvlJc w:val="left"/>
      <w:pPr>
        <w:ind w:left="1119" w:hanging="360"/>
      </w:pPr>
      <w:rPr>
        <w:rFonts w:ascii="Symbol" w:hAnsi="Symbol" w:hint="default"/>
      </w:rPr>
    </w:lvl>
    <w:lvl w:ilvl="1" w:tplc="08090003" w:tentative="1">
      <w:start w:val="1"/>
      <w:numFmt w:val="bullet"/>
      <w:lvlText w:val="o"/>
      <w:lvlJc w:val="left"/>
      <w:pPr>
        <w:ind w:left="1839" w:hanging="360"/>
      </w:pPr>
      <w:rPr>
        <w:rFonts w:ascii="Courier New" w:hAnsi="Courier New" w:cs="Courier New" w:hint="default"/>
      </w:rPr>
    </w:lvl>
    <w:lvl w:ilvl="2" w:tplc="08090005" w:tentative="1">
      <w:start w:val="1"/>
      <w:numFmt w:val="bullet"/>
      <w:lvlText w:val=""/>
      <w:lvlJc w:val="left"/>
      <w:pPr>
        <w:ind w:left="2559" w:hanging="360"/>
      </w:pPr>
      <w:rPr>
        <w:rFonts w:ascii="Wingdings" w:hAnsi="Wingdings" w:hint="default"/>
      </w:rPr>
    </w:lvl>
    <w:lvl w:ilvl="3" w:tplc="08090001" w:tentative="1">
      <w:start w:val="1"/>
      <w:numFmt w:val="bullet"/>
      <w:lvlText w:val=""/>
      <w:lvlJc w:val="left"/>
      <w:pPr>
        <w:ind w:left="3279" w:hanging="360"/>
      </w:pPr>
      <w:rPr>
        <w:rFonts w:ascii="Symbol" w:hAnsi="Symbol" w:hint="default"/>
      </w:rPr>
    </w:lvl>
    <w:lvl w:ilvl="4" w:tplc="08090003" w:tentative="1">
      <w:start w:val="1"/>
      <w:numFmt w:val="bullet"/>
      <w:lvlText w:val="o"/>
      <w:lvlJc w:val="left"/>
      <w:pPr>
        <w:ind w:left="3999" w:hanging="360"/>
      </w:pPr>
      <w:rPr>
        <w:rFonts w:ascii="Courier New" w:hAnsi="Courier New" w:cs="Courier New" w:hint="default"/>
      </w:rPr>
    </w:lvl>
    <w:lvl w:ilvl="5" w:tplc="08090005" w:tentative="1">
      <w:start w:val="1"/>
      <w:numFmt w:val="bullet"/>
      <w:lvlText w:val=""/>
      <w:lvlJc w:val="left"/>
      <w:pPr>
        <w:ind w:left="4719" w:hanging="360"/>
      </w:pPr>
      <w:rPr>
        <w:rFonts w:ascii="Wingdings" w:hAnsi="Wingdings" w:hint="default"/>
      </w:rPr>
    </w:lvl>
    <w:lvl w:ilvl="6" w:tplc="08090001" w:tentative="1">
      <w:start w:val="1"/>
      <w:numFmt w:val="bullet"/>
      <w:lvlText w:val=""/>
      <w:lvlJc w:val="left"/>
      <w:pPr>
        <w:ind w:left="5439" w:hanging="360"/>
      </w:pPr>
      <w:rPr>
        <w:rFonts w:ascii="Symbol" w:hAnsi="Symbol" w:hint="default"/>
      </w:rPr>
    </w:lvl>
    <w:lvl w:ilvl="7" w:tplc="08090003" w:tentative="1">
      <w:start w:val="1"/>
      <w:numFmt w:val="bullet"/>
      <w:lvlText w:val="o"/>
      <w:lvlJc w:val="left"/>
      <w:pPr>
        <w:ind w:left="6159" w:hanging="360"/>
      </w:pPr>
      <w:rPr>
        <w:rFonts w:ascii="Courier New" w:hAnsi="Courier New" w:cs="Courier New" w:hint="default"/>
      </w:rPr>
    </w:lvl>
    <w:lvl w:ilvl="8" w:tplc="08090005" w:tentative="1">
      <w:start w:val="1"/>
      <w:numFmt w:val="bullet"/>
      <w:lvlText w:val=""/>
      <w:lvlJc w:val="left"/>
      <w:pPr>
        <w:ind w:left="6879" w:hanging="360"/>
      </w:pPr>
      <w:rPr>
        <w:rFonts w:ascii="Wingdings" w:hAnsi="Wingdings" w:hint="default"/>
      </w:rPr>
    </w:lvl>
  </w:abstractNum>
  <w:num w:numId="1" w16cid:durableId="1614820733">
    <w:abstractNumId w:val="0"/>
  </w:num>
  <w:num w:numId="2" w16cid:durableId="893931216">
    <w:abstractNumId w:val="1"/>
  </w:num>
  <w:num w:numId="3" w16cid:durableId="1906840125">
    <w:abstractNumId w:val="3"/>
  </w:num>
  <w:num w:numId="4" w16cid:durableId="731466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22"/>
    <w:rsid w:val="00020CB0"/>
    <w:rsid w:val="00027F22"/>
    <w:rsid w:val="00063266"/>
    <w:rsid w:val="00146272"/>
    <w:rsid w:val="002F61D8"/>
    <w:rsid w:val="003F336A"/>
    <w:rsid w:val="00426A9E"/>
    <w:rsid w:val="0061488F"/>
    <w:rsid w:val="006C5F14"/>
    <w:rsid w:val="007641C7"/>
    <w:rsid w:val="008756B0"/>
    <w:rsid w:val="008E4C0B"/>
    <w:rsid w:val="0095395E"/>
    <w:rsid w:val="00992F51"/>
    <w:rsid w:val="00D14847"/>
    <w:rsid w:val="00E64B22"/>
    <w:rsid w:val="00F15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B1901"/>
  <w15:docId w15:val="{73F7952F-4271-4390-B28E-12A064F7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F22"/>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7F22"/>
    <w:rPr>
      <w:rFonts w:ascii="Tahoma" w:hAnsi="Tahoma" w:cs="Tahoma"/>
      <w:sz w:val="16"/>
      <w:szCs w:val="16"/>
    </w:rPr>
  </w:style>
  <w:style w:type="character" w:customStyle="1" w:styleId="BalloonTextChar">
    <w:name w:val="Balloon Text Char"/>
    <w:basedOn w:val="DefaultParagraphFont"/>
    <w:link w:val="BalloonText"/>
    <w:uiPriority w:val="99"/>
    <w:semiHidden/>
    <w:rsid w:val="00027F22"/>
    <w:rPr>
      <w:rFonts w:ascii="Tahoma" w:eastAsia="Times New Roman" w:hAnsi="Tahoma" w:cs="Tahoma"/>
      <w:sz w:val="16"/>
      <w:szCs w:val="16"/>
      <w:lang w:eastAsia="en-GB"/>
    </w:rPr>
  </w:style>
  <w:style w:type="paragraph" w:styleId="ListParagraph">
    <w:name w:val="List Paragraph"/>
    <w:basedOn w:val="Normal"/>
    <w:uiPriority w:val="34"/>
    <w:qFormat/>
    <w:rsid w:val="00027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Cook</dc:creator>
  <cp:lastModifiedBy>Hannah Cook</cp:lastModifiedBy>
  <cp:revision>3</cp:revision>
  <cp:lastPrinted>2017-05-10T09:22:00Z</cp:lastPrinted>
  <dcterms:created xsi:type="dcterms:W3CDTF">2024-03-11T11:31:00Z</dcterms:created>
  <dcterms:modified xsi:type="dcterms:W3CDTF">2024-03-11T11:33:00Z</dcterms:modified>
</cp:coreProperties>
</file>